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9316F15" wp14:editId="387F51DF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0774984E" wp14:editId="1F0395F8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>1. SIJEČNJA DO 31. OŽUJKA 2022</w:t>
      </w:r>
      <w:r w:rsidR="008E30FF">
        <w:rPr>
          <w:b/>
        </w:rPr>
        <w:t>. GODINE</w:t>
      </w:r>
    </w:p>
    <w:p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277CC4" w:rsidRDefault="00277CC4" w:rsidP="00277CC4">
      <w:pPr>
        <w:tabs>
          <w:tab w:val="left" w:pos="5088"/>
        </w:tabs>
        <w:jc w:val="both"/>
      </w:pPr>
      <w:r>
        <w:t xml:space="preserve">             Na temelju članka 15. i 16. Pravilnika o financijskom izvještavanj</w:t>
      </w:r>
      <w:r w:rsidR="00C90367">
        <w:t xml:space="preserve">u u Proračunskom računovodstvu </w:t>
      </w:r>
      <w:r>
        <w:t xml:space="preserve"> izrađene su ove Bilješke uz financijske izvještaje za razdoblje od 01.</w:t>
      </w:r>
      <w:r w:rsidR="00141644">
        <w:t xml:space="preserve"> </w:t>
      </w:r>
      <w:r w:rsidR="00C4055F">
        <w:t>siječnja do 31. ožujka 2022</w:t>
      </w:r>
      <w:r>
        <w:t>.godine.</w:t>
      </w: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 ostale poslove sukladno posebnim zakonima.</w:t>
      </w:r>
    </w:p>
    <w:p w:rsidR="00277CC4" w:rsidRDefault="00277CC4" w:rsidP="00502029">
      <w:pPr>
        <w:ind w:firstLine="708"/>
        <w:jc w:val="both"/>
      </w:pPr>
    </w:p>
    <w:p w:rsidR="002D100D" w:rsidRPr="00650F74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 xml:space="preserve">Odgovorna osoba Grada Otočca je Gradonačelnik </w:t>
      </w:r>
      <w:r>
        <w:t>Goran Bukovac, dipl.pol</w:t>
      </w:r>
      <w:r w:rsidRPr="00650F74">
        <w:t>. koji obnaša dužnost g</w:t>
      </w:r>
      <w:r>
        <w:t>radonačelnika od 04. lipnja 2021</w:t>
      </w:r>
      <w:r w:rsidRPr="00650F74">
        <w:t>. godine.</w:t>
      </w:r>
    </w:p>
    <w:p w:rsidR="002D100D" w:rsidRPr="00650F74" w:rsidRDefault="002D100D" w:rsidP="002D100D">
      <w:pPr>
        <w:pStyle w:val="Odlomakpopisa"/>
        <w:tabs>
          <w:tab w:val="left" w:pos="5088"/>
        </w:tabs>
        <w:ind w:left="0"/>
        <w:jc w:val="both"/>
      </w:pPr>
      <w:r w:rsidRPr="00650F74">
        <w:t>Odgovorne osobe za</w:t>
      </w:r>
      <w:r>
        <w:t xml:space="preserve"> sastavljanje B</w:t>
      </w:r>
      <w:r w:rsidRPr="00650F74">
        <w:t xml:space="preserve">ilješki su Stevan Uzelac, dipl. iur. pročelnik Jedinstvenog odjela  i Martina </w:t>
      </w:r>
      <w:r>
        <w:t>Cvitković</w:t>
      </w:r>
      <w:r w:rsidRPr="00650F74">
        <w:t>, mag.oec., voditelj odsjeka za proračun, financije i javne prihode.</w:t>
      </w:r>
    </w:p>
    <w:p w:rsidR="003459D1" w:rsidRDefault="00493917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 xml:space="preserve"> </w:t>
      </w:r>
    </w:p>
    <w:p w:rsidR="000D7DFB" w:rsidRPr="00137CB4" w:rsidRDefault="000D7DFB" w:rsidP="00137CB4">
      <w:pPr>
        <w:tabs>
          <w:tab w:val="left" w:pos="5088"/>
        </w:tabs>
        <w:ind w:firstLine="600"/>
        <w:jc w:val="both"/>
      </w:pPr>
    </w:p>
    <w:p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3459D1" w:rsidRPr="00137CB4" w:rsidRDefault="003459D1" w:rsidP="00137CB4">
      <w:pPr>
        <w:jc w:val="both"/>
        <w:rPr>
          <w:i/>
        </w:rPr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  <w:r w:rsidRPr="00137CB4">
        <w:rPr>
          <w:i/>
        </w:rPr>
        <w:t xml:space="preserve"> </w:t>
      </w:r>
      <w:r w:rsidR="00A47624" w:rsidRPr="00137CB4">
        <w:rPr>
          <w:i/>
        </w:rPr>
        <w:t xml:space="preserve"> </w:t>
      </w:r>
    </w:p>
    <w:p w:rsidR="003459D1" w:rsidRPr="00137CB4" w:rsidRDefault="003459D1" w:rsidP="00137CB4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smanjen je u odnosu na</w:t>
      </w:r>
      <w:r w:rsidR="00EB3331" w:rsidRPr="00650F74">
        <w:t xml:space="preserve"> prethodnu godinu za </w:t>
      </w:r>
      <w:r>
        <w:t>1,1%.</w:t>
      </w:r>
      <w:r w:rsidR="00EB3331" w:rsidRPr="00650F74">
        <w:t xml:space="preserve"> Odnosi se na porez i prorez na dohodak od nesamostalnog rada te porez i prirez na dohodak od kapitala.</w:t>
      </w:r>
      <w:r w:rsidR="00EB3331">
        <w:t xml:space="preserve"> Razlog smanjenja je </w:t>
      </w:r>
      <w:r>
        <w:t>smanjenje prireza porezu na dohodak Grada Otočca sa 9% na 7% koji je stupio na snagu 01.01.2022. godine.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>nu smanjeni su u odnosu na prethodnu godinu.</w:t>
      </w:r>
      <w:r w:rsidR="00FD7067" w:rsidRPr="00137CB4">
        <w:t xml:space="preserve"> </w:t>
      </w:r>
      <w:r w:rsidR="00BE384E">
        <w:t xml:space="preserve">Najveće </w:t>
      </w:r>
      <w:r>
        <w:t>smanjenje se odnosi</w:t>
      </w:r>
      <w:r w:rsidR="00BE384E">
        <w:t xml:space="preserve"> 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>
        <w:t>povećani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>
        <w:t xml:space="preserve">Povećana </w:t>
      </w:r>
      <w:r w:rsidR="00D65E7F" w:rsidRPr="00137CB4">
        <w:t>je naplata poreza na potrošnju alkoholnih i bezalkoholnih pića i porez</w:t>
      </w:r>
      <w:r w:rsidR="00BE384E">
        <w:t>a</w:t>
      </w:r>
      <w:r>
        <w:t xml:space="preserve"> na tvrtku</w:t>
      </w:r>
      <w:r w:rsidR="00BD312D">
        <w:t xml:space="preserve"> </w:t>
      </w:r>
      <w:r w:rsidR="00630116" w:rsidRPr="00137CB4">
        <w:t>(</w:t>
      </w:r>
      <w:r>
        <w:t xml:space="preserve">razlog je ukidanje ovog poreza </w:t>
      </w:r>
      <w:r w:rsidR="00D65E7F" w:rsidRPr="00137CB4">
        <w:t>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  <w:r>
        <w:t xml:space="preserve"> Grad Otočac je smanjio porez na potrošnju sa 3% na 1% koji je također stupio na snagu 01.01.2022.godine.</w:t>
      </w:r>
    </w:p>
    <w:p w:rsidR="00D65E7F" w:rsidRPr="00137CB4" w:rsidRDefault="00D65E7F" w:rsidP="00137CB4">
      <w:pPr>
        <w:ind w:firstLine="708"/>
        <w:jc w:val="both"/>
      </w:pPr>
    </w:p>
    <w:p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financija za 12 mjeseci kao razliku što je ukinut prihod fiskalnog izravnavanja poreza i prireza. Iznos kompenzacij</w:t>
      </w:r>
      <w:r>
        <w:rPr>
          <w:color w:val="000000" w:themeColor="text1"/>
        </w:rPr>
        <w:t>skih mjera je 2.758.567,02 kn.</w:t>
      </w:r>
    </w:p>
    <w:p w:rsidR="00D77F71" w:rsidRDefault="00D77F71" w:rsidP="00241A2F">
      <w:pPr>
        <w:jc w:val="both"/>
      </w:pPr>
    </w:p>
    <w:p w:rsidR="00D77F71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:rsidR="007E69A3" w:rsidRDefault="007E69A3" w:rsidP="007E69A3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:rsidR="00D77F71" w:rsidRDefault="00D77F71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>
        <w:t>povećanje</w:t>
      </w:r>
      <w:r w:rsidR="00D77F71" w:rsidRPr="00650F74">
        <w:t xml:space="preserve"> ovih prihoda. </w:t>
      </w:r>
    </w:p>
    <w:p w:rsidR="00D77F71" w:rsidRDefault="00D77F71" w:rsidP="00D77F71">
      <w:pPr>
        <w:ind w:firstLine="708"/>
        <w:jc w:val="both"/>
      </w:pPr>
    </w:p>
    <w:p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:rsidR="007E69A3" w:rsidRPr="00650F74" w:rsidRDefault="007E69A3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lastRenderedPageBreak/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2021. godinu. </w:t>
      </w:r>
      <w:r w:rsidR="00D77F71" w:rsidRPr="00650F74">
        <w:t xml:space="preserve">Na računu 683 evidentirane su prisilne naplate. </w:t>
      </w:r>
    </w:p>
    <w:p w:rsidR="00B6106A" w:rsidRPr="00137CB4" w:rsidRDefault="00B6106A" w:rsidP="00BE5F97">
      <w:pPr>
        <w:jc w:val="both"/>
      </w:pPr>
    </w:p>
    <w:p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2022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smanjene su u odnosu na 202</w:t>
      </w:r>
      <w:r>
        <w:rPr>
          <w:color w:val="000000" w:themeColor="text1"/>
        </w:rPr>
        <w:t>1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>
        <w:rPr>
          <w:color w:val="000000" w:themeColor="text1"/>
        </w:rPr>
        <w:t>24,5%.</w:t>
      </w:r>
      <w:r w:rsidR="00374015">
        <w:rPr>
          <w:color w:val="000000" w:themeColor="text1"/>
        </w:rPr>
        <w:t xml:space="preserve"> </w:t>
      </w:r>
      <w:r w:rsidR="00CE4B36">
        <w:rPr>
          <w:color w:val="000000" w:themeColor="text1"/>
        </w:rPr>
        <w:t xml:space="preserve">Razlog smanjenja je manji broj zaposlenih zbog </w:t>
      </w:r>
      <w:r w:rsidR="00E91759">
        <w:rPr>
          <w:color w:val="000000" w:themeColor="text1"/>
        </w:rPr>
        <w:t xml:space="preserve">odlaska u mirovinu, </w:t>
      </w:r>
      <w:r w:rsidR="00CE4B36">
        <w:rPr>
          <w:color w:val="000000" w:themeColor="text1"/>
        </w:rPr>
        <w:t xml:space="preserve">a novog zapošljavanja nije bilo. </w:t>
      </w:r>
      <w:r w:rsidR="00CE4B36" w:rsidRPr="00650F74">
        <w:rPr>
          <w:color w:val="000000" w:themeColor="text1"/>
        </w:rPr>
        <w:t xml:space="preserve">Na računu 3111 evidentirane su plaće za zaposlene u Gradskoj upravi. </w:t>
      </w:r>
      <w:r>
        <w:rPr>
          <w:color w:val="000000" w:themeColor="text1"/>
        </w:rPr>
        <w:t>Broj zaposlenih na dan 31.03</w:t>
      </w:r>
      <w:r w:rsidR="00CE4B3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="00CE4B36">
        <w:rPr>
          <w:color w:val="000000" w:themeColor="text1"/>
        </w:rPr>
        <w:t>. 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25.</w:t>
      </w:r>
    </w:p>
    <w:p w:rsidR="003D2620" w:rsidRPr="00137CB4" w:rsidRDefault="003D2620" w:rsidP="00137CB4">
      <w:pPr>
        <w:ind w:firstLine="708"/>
        <w:jc w:val="both"/>
      </w:pPr>
    </w:p>
    <w:p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312</w:t>
      </w:r>
      <w:r w:rsidR="00CE4B36" w:rsidRPr="00650F74">
        <w:t xml:space="preserve"> Doprinosi na plaće su</w:t>
      </w:r>
      <w:r w:rsidR="00CE4B36">
        <w:t xml:space="preserve"> smanjeni</w:t>
      </w:r>
      <w:r w:rsidR="00CE4B36" w:rsidRPr="00650F74">
        <w:t xml:space="preserve"> u odnosu na prethodnu godinu, a razlog </w:t>
      </w:r>
      <w:r w:rsidR="00CE4B36">
        <w:t xml:space="preserve">je objašnjenje </w:t>
      </w:r>
      <w:r>
        <w:t>u plaćama 311.</w:t>
      </w:r>
    </w:p>
    <w:p w:rsidR="00CE4B36" w:rsidRDefault="00CE4B36" w:rsidP="00CE4B36">
      <w:pPr>
        <w:ind w:firstLine="708"/>
        <w:jc w:val="both"/>
      </w:pPr>
    </w:p>
    <w:p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>ima smanjene su u odnosu na 2021</w:t>
      </w:r>
      <w:r w:rsidR="00CE4B36">
        <w:t xml:space="preserve">. godinu  i to za </w:t>
      </w:r>
      <w:r>
        <w:t>49,9%.</w:t>
      </w:r>
      <w:r w:rsidR="00CE4B36">
        <w:t xml:space="preserve"> Ovi rashodi se odnose na stručno usavršavanje zaposlenika, službena putovanja te naknade za prijevoz na posao i sa posla.</w:t>
      </w:r>
    </w:p>
    <w:p w:rsidR="00CE4B36" w:rsidRDefault="00CE4B36" w:rsidP="00CE4B36">
      <w:pPr>
        <w:jc w:val="both"/>
      </w:pPr>
    </w:p>
    <w:p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2021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>za grijanje (lož ulje, pelete), a najveće povećanje se odnosi na troškove električne energije te nabava materijala za održavanje.</w:t>
      </w:r>
    </w:p>
    <w:p w:rsidR="00CE4B36" w:rsidRPr="00650F74" w:rsidRDefault="00CE4B36" w:rsidP="00CE4B36">
      <w:pPr>
        <w:ind w:firstLine="708"/>
        <w:jc w:val="both"/>
      </w:pPr>
    </w:p>
    <w:p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>
        <w:t>4,9%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telefona,</w:t>
      </w:r>
      <w:r w:rsidR="00CE4B36">
        <w:t xml:space="preserve"> komunalne usluge, računalne usluge isl.</w:t>
      </w:r>
    </w:p>
    <w:p w:rsidR="000B2428" w:rsidRPr="00650F74" w:rsidRDefault="000B2428" w:rsidP="00CE4B36">
      <w:pPr>
        <w:ind w:firstLine="708"/>
        <w:jc w:val="both"/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CE4B36">
        <w:rPr>
          <w:color w:val="000000" w:themeColor="text1"/>
        </w:rPr>
        <w:t>povećan</w:t>
      </w:r>
      <w:r w:rsidR="00CE4B36" w:rsidRPr="00650F74">
        <w:rPr>
          <w:color w:val="000000" w:themeColor="text1"/>
        </w:rPr>
        <w:t xml:space="preserve">i 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Najviše su </w:t>
      </w:r>
      <w:r w:rsidR="00CE4B36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rashodi koji se odnose na </w:t>
      </w:r>
      <w:r w:rsidR="00CE4B36">
        <w:rPr>
          <w:color w:val="000000" w:themeColor="text1"/>
        </w:rPr>
        <w:t>naknadu za rad predstavničkih i izvršnih tijela, povjerenstava i sl</w:t>
      </w:r>
      <w:r>
        <w:rPr>
          <w:color w:val="000000" w:themeColor="text1"/>
        </w:rPr>
        <w:t>.</w:t>
      </w:r>
    </w:p>
    <w:p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CE4B36">
        <w:rPr>
          <w:color w:val="000000" w:themeColor="text1"/>
        </w:rPr>
        <w:t>povećani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:rsidR="00CE4B36" w:rsidRDefault="00CE4B36" w:rsidP="00374015">
      <w:pPr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085011">
        <w:t xml:space="preserve">povećane </w:t>
      </w:r>
      <w:r w:rsidR="00085011" w:rsidRPr="00650F74">
        <w:t xml:space="preserve">su u odnosu na </w:t>
      </w:r>
      <w:r>
        <w:t>2021</w:t>
      </w:r>
      <w:r w:rsidR="00085011" w:rsidRPr="00650F74">
        <w:t xml:space="preserve">. godinu. </w:t>
      </w:r>
      <w:r w:rsidR="00085011" w:rsidRPr="00137CB4">
        <w:t xml:space="preserve">U </w:t>
      </w:r>
      <w:r>
        <w:t>2022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</w:p>
    <w:p w:rsidR="00085011" w:rsidRPr="00650F74" w:rsidRDefault="00085011" w:rsidP="00085011">
      <w:pPr>
        <w:ind w:firstLine="708"/>
        <w:jc w:val="both"/>
      </w:pPr>
    </w:p>
    <w:p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osjemenjivanje krava, mikročipiranje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 te subvencija Hrvatskoj pošti d.d. za oslobođenje plaćanja naknade građanima koji svoje račune za komunalnu naknadu i naknadu za uređenje voda plaćaju u Hrvatskoj pošti. Građani su oslobođeni plaćanja dodatne naknade po plaćenom računu za navedenu naknadu.</w:t>
      </w:r>
    </w:p>
    <w:p w:rsidR="00085011" w:rsidRDefault="00085011" w:rsidP="00E91759">
      <w:pPr>
        <w:jc w:val="both"/>
      </w:pPr>
    </w:p>
    <w:p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2022. godini. U 2022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od </w:t>
      </w:r>
      <w:r>
        <w:rPr>
          <w:color w:val="000000" w:themeColor="text1"/>
        </w:rPr>
        <w:t>332.674,31</w:t>
      </w:r>
      <w:r w:rsidR="00085011" w:rsidRPr="00650F74">
        <w:rPr>
          <w:color w:val="000000" w:themeColor="text1"/>
        </w:rPr>
        <w:t xml:space="preserve"> kn, dječji vrtić Ciciban u iznosu od  </w:t>
      </w:r>
      <w:r>
        <w:rPr>
          <w:color w:val="000000" w:themeColor="text1"/>
        </w:rPr>
        <w:t>897.688,04</w:t>
      </w:r>
      <w:r w:rsidR="00085011">
        <w:rPr>
          <w:color w:val="000000" w:themeColor="text1"/>
        </w:rPr>
        <w:t xml:space="preserve"> </w:t>
      </w:r>
      <w:r w:rsidR="00085011" w:rsidRPr="00650F74">
        <w:rPr>
          <w:color w:val="000000" w:themeColor="text1"/>
        </w:rPr>
        <w:t xml:space="preserve">kn, Javnu ustanovu Narodnu knjižnicu sa  iznosom od </w:t>
      </w:r>
      <w:r>
        <w:rPr>
          <w:color w:val="000000" w:themeColor="text1"/>
        </w:rPr>
        <w:t>134.858,62</w:t>
      </w:r>
      <w:r w:rsidR="00085011" w:rsidRPr="00650F74">
        <w:rPr>
          <w:color w:val="000000" w:themeColor="text1"/>
        </w:rPr>
        <w:t xml:space="preserve"> kn i Centar za pomoć u kući sa iznosom od </w:t>
      </w:r>
      <w:r>
        <w:rPr>
          <w:color w:val="000000" w:themeColor="text1"/>
        </w:rPr>
        <w:t>43.365,03</w:t>
      </w:r>
      <w:r w:rsidR="00085011">
        <w:rPr>
          <w:color w:val="000000" w:themeColor="text1"/>
        </w:rPr>
        <w:t xml:space="preserve"> </w:t>
      </w:r>
      <w:r w:rsidR="00085011" w:rsidRPr="00650F74">
        <w:rPr>
          <w:color w:val="000000" w:themeColor="text1"/>
        </w:rPr>
        <w:t xml:space="preserve">kn. </w:t>
      </w:r>
    </w:p>
    <w:p w:rsidR="00085011" w:rsidRPr="00650F74" w:rsidRDefault="00085011" w:rsidP="00085011">
      <w:pPr>
        <w:ind w:firstLine="708"/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lastRenderedPageBreak/>
        <w:t>Konto 372</w:t>
      </w:r>
      <w:r w:rsidR="00085011" w:rsidRPr="00650F74">
        <w:t xml:space="preserve"> Ostale naknade građanima i kućanstvima iz proračuna </w:t>
      </w:r>
      <w:r>
        <w:t>povećane su u odnosu na 2021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454613">
        <w:t>ugroženom stanovništvu.</w:t>
      </w:r>
    </w:p>
    <w:p w:rsidR="00085011" w:rsidRPr="00650F74" w:rsidRDefault="00085011" w:rsidP="00085011">
      <w:pPr>
        <w:ind w:firstLine="708"/>
        <w:jc w:val="both"/>
      </w:pPr>
    </w:p>
    <w:p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2022. godini. Grad je u 2022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 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085011">
        <w:rPr>
          <w:color w:val="000000" w:themeColor="text1"/>
        </w:rPr>
        <w:t>.</w:t>
      </w:r>
    </w:p>
    <w:p w:rsidR="00085011" w:rsidRPr="00650F74" w:rsidRDefault="00085011" w:rsidP="00085011">
      <w:pPr>
        <w:jc w:val="both"/>
      </w:pPr>
    </w:p>
    <w:p w:rsidR="00085011" w:rsidRPr="00650F74" w:rsidRDefault="00F235DF" w:rsidP="00085011">
      <w:pPr>
        <w:ind w:firstLine="708"/>
        <w:jc w:val="both"/>
      </w:pPr>
      <w:r>
        <w:rPr>
          <w:b/>
        </w:rPr>
        <w:t xml:space="preserve">Konto </w:t>
      </w:r>
      <w:r w:rsidRPr="00F235DF">
        <w:rPr>
          <w:b/>
        </w:rPr>
        <w:t>7111</w:t>
      </w:r>
      <w:r w:rsidR="00085011">
        <w:t xml:space="preserve"> Prihod od prodaje</w:t>
      </w:r>
      <w:r w:rsidR="00085011" w:rsidRPr="00650F74">
        <w:t xml:space="preserve"> materijalne imovine </w:t>
      </w:r>
      <w:r>
        <w:t>povećani je u odnosu na 2021</w:t>
      </w:r>
      <w:r w:rsidR="00085011">
        <w:t>. g</w:t>
      </w:r>
      <w:r>
        <w:t xml:space="preserve">odinu, a </w:t>
      </w:r>
      <w:r w:rsidR="00085011" w:rsidRPr="00650F74">
        <w:t>ovaj prihod odnosi na prodaju zemljišta u Poslovnoj zoni Otočac.</w:t>
      </w:r>
    </w:p>
    <w:p w:rsidR="00085011" w:rsidRPr="00650F74" w:rsidRDefault="00085011" w:rsidP="00085011">
      <w:pPr>
        <w:ind w:firstLine="708"/>
        <w:jc w:val="both"/>
      </w:pPr>
    </w:p>
    <w:p w:rsidR="00085011" w:rsidRPr="00650F74" w:rsidRDefault="00C01D39" w:rsidP="00085011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( 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</w:p>
    <w:p w:rsidR="00454613" w:rsidRDefault="00454613" w:rsidP="00085011">
      <w:pPr>
        <w:ind w:firstLine="708"/>
        <w:jc w:val="both"/>
      </w:pPr>
    </w:p>
    <w:p w:rsidR="00454613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4111</w:t>
      </w:r>
      <w:r w:rsidR="00F235DF">
        <w:t xml:space="preserve"> U 2022.g. kupilo se zemljište za izgradnju objekta za zbrinjavanje napuštenih životinja. </w:t>
      </w:r>
    </w:p>
    <w:p w:rsidR="00F235DF" w:rsidRDefault="00F235DF" w:rsidP="00085011">
      <w:pPr>
        <w:ind w:firstLine="708"/>
        <w:jc w:val="both"/>
      </w:pPr>
    </w:p>
    <w:p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F235DF" w:rsidRPr="004442F2">
        <w:rPr>
          <w:b/>
        </w:rPr>
        <w:t>4212</w:t>
      </w:r>
      <w:r w:rsidR="00085011" w:rsidRPr="00650F74">
        <w:t xml:space="preserve"> </w:t>
      </w:r>
      <w:r w:rsidR="00085011">
        <w:t>Poslovni objekti</w:t>
      </w:r>
      <w:r w:rsidR="00F235DF">
        <w:t>, nije bilo ulaganja u objekte u odnosu na 2021. g.</w:t>
      </w:r>
    </w:p>
    <w:p w:rsidR="00085011" w:rsidRDefault="00085011" w:rsidP="00F235DF">
      <w:pPr>
        <w:jc w:val="both"/>
      </w:pPr>
    </w:p>
    <w:p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085011" w:rsidRPr="00650F74">
        <w:t xml:space="preserve"> </w:t>
      </w:r>
      <w:r w:rsidR="00085011">
        <w:t>Uredska opr</w:t>
      </w:r>
      <w:r w:rsidR="00F235DF">
        <w:t>ema i namještaj u navedenom razdoblju nije bilo nabave uredske opreme u odnosu na 2021.g.</w:t>
      </w:r>
    </w:p>
    <w:p w:rsidR="00F235DF" w:rsidRDefault="00F235DF" w:rsidP="00085011">
      <w:pPr>
        <w:ind w:firstLine="708"/>
        <w:jc w:val="both"/>
      </w:pPr>
    </w:p>
    <w:p w:rsidR="00A87AA7" w:rsidRPr="001F4054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4222</w:t>
      </w:r>
      <w:r w:rsidR="00A87AA7">
        <w:t xml:space="preserve"> Komunikacijska oprema nabavljen je Huawei Router za Internet. </w:t>
      </w:r>
    </w:p>
    <w:p w:rsidR="00A87AA7" w:rsidRDefault="00A87AA7" w:rsidP="00085011">
      <w:pPr>
        <w:ind w:firstLine="708"/>
        <w:jc w:val="both"/>
      </w:pPr>
    </w:p>
    <w:p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A87AA7" w:rsidRPr="004442F2">
        <w:rPr>
          <w:b/>
        </w:rPr>
        <w:t>4227</w:t>
      </w:r>
      <w:r w:rsidR="00A87AA7">
        <w:t xml:space="preserve"> </w:t>
      </w:r>
      <w:r w:rsidR="00085011">
        <w:t xml:space="preserve">Uređaji, strojevi i oprema za ostale namjene </w:t>
      </w:r>
      <w:r w:rsidR="00A87AA7">
        <w:t>smanjeni su u odnosu na 2021</w:t>
      </w:r>
      <w:r w:rsidR="00085011">
        <w:t>.</w:t>
      </w:r>
      <w:r w:rsidR="00853B86">
        <w:t xml:space="preserve"> </w:t>
      </w:r>
      <w:r w:rsidR="00085011">
        <w:t xml:space="preserve">godinu, a odnosi se na </w:t>
      </w:r>
      <w:r w:rsidR="00A87AA7">
        <w:t>nabavu grijalice.</w:t>
      </w:r>
      <w:r w:rsidR="00085011">
        <w:t xml:space="preserve"> </w:t>
      </w:r>
    </w:p>
    <w:p w:rsidR="00085011" w:rsidRDefault="00085011" w:rsidP="00137CB4">
      <w:pPr>
        <w:ind w:firstLine="708"/>
        <w:jc w:val="both"/>
      </w:pPr>
    </w:p>
    <w:p w:rsidR="00085011" w:rsidRDefault="00562A14" w:rsidP="00137CB4">
      <w:pPr>
        <w:ind w:firstLine="708"/>
        <w:jc w:val="both"/>
      </w:pPr>
      <w:r>
        <w:t>Otplata glavnice primljenih zajmova iz državnog proračuna</w:t>
      </w:r>
      <w:r w:rsidR="00AE266F">
        <w:t xml:space="preserve"> </w:t>
      </w:r>
      <w:r>
        <w:t xml:space="preserve">odnosi </w:t>
      </w:r>
      <w:r w:rsidR="00AE266F">
        <w:t xml:space="preserve">se na beskamatni zajam iz državnog proračuna, odnosno stanje duga JLS na dan 31.12.2021.godine po namirenju nedostajućih sredstava na računu poreza na dohodak i prirezu poreza na dohodak za povrat po godišnjoj prijavi za 2020.godinu. Navedeni zajam će se </w:t>
      </w:r>
      <w:r w:rsidR="00E42045">
        <w:t>vratiti u 2022. godini kroz 4</w:t>
      </w:r>
      <w:r>
        <w:t xml:space="preserve"> mjesečne</w:t>
      </w:r>
      <w:r w:rsidR="00E42045">
        <w:t xml:space="preserve"> rate. </w:t>
      </w:r>
    </w:p>
    <w:p w:rsidR="00CC6420" w:rsidRPr="00137CB4" w:rsidRDefault="00CC6420" w:rsidP="009808AD">
      <w:pPr>
        <w:ind w:firstLine="708"/>
        <w:jc w:val="both"/>
      </w:pPr>
    </w:p>
    <w:p w:rsidR="009221B0" w:rsidRDefault="009221B0">
      <w:pPr>
        <w:spacing w:after="200" w:line="276" w:lineRule="auto"/>
      </w:pPr>
      <w:r>
        <w:br w:type="page"/>
      </w:r>
    </w:p>
    <w:p w:rsidR="00CA4836" w:rsidRDefault="003459D1" w:rsidP="00137CB4">
      <w:pPr>
        <w:ind w:firstLine="708"/>
        <w:jc w:val="both"/>
      </w:pPr>
      <w:r w:rsidRPr="00137CB4">
        <w:lastRenderedPageBreak/>
        <w:t xml:space="preserve"> </w:t>
      </w:r>
    </w:p>
    <w:tbl>
      <w:tblPr>
        <w:tblW w:w="7145" w:type="dxa"/>
        <w:tblInd w:w="108" w:type="dxa"/>
        <w:tblLook w:val="04A0" w:firstRow="1" w:lastRow="0" w:firstColumn="1" w:lastColumn="0" w:noHBand="0" w:noVBand="1"/>
      </w:tblPr>
      <w:tblGrid>
        <w:gridCol w:w="4813"/>
        <w:gridCol w:w="2332"/>
      </w:tblGrid>
      <w:tr w:rsidR="00A03B74" w:rsidTr="00A03B74">
        <w:trPr>
          <w:trHeight w:val="268"/>
        </w:trPr>
        <w:tc>
          <w:tcPr>
            <w:tcW w:w="7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8.147.212,88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615.330,51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8.762.543,39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5.305.574,65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106.489,43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588.224,39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6.000.288,47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8.762.543,39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-6.000.288,47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VIŠAK/MANJAK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2.762.254,92</w:t>
            </w:r>
          </w:p>
        </w:tc>
      </w:tr>
      <w:tr w:rsidR="00A03B74" w:rsidTr="00A03B74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VIŠAK: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9.938.804,21</w:t>
            </w:r>
          </w:p>
        </w:tc>
      </w:tr>
      <w:tr w:rsidR="00A03B74" w:rsidTr="00A03B74">
        <w:trPr>
          <w:trHeight w:val="281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 31.12.2021.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12.701.059,13</w:t>
            </w:r>
          </w:p>
        </w:tc>
      </w:tr>
    </w:tbl>
    <w:p w:rsidR="007A2C4C" w:rsidRDefault="007A2C4C" w:rsidP="00137CB4">
      <w:pPr>
        <w:ind w:firstLine="708"/>
        <w:jc w:val="both"/>
      </w:pPr>
    </w:p>
    <w:p w:rsidR="00F72693" w:rsidRDefault="00F72693" w:rsidP="009221B0">
      <w:pPr>
        <w:spacing w:after="200" w:line="276" w:lineRule="auto"/>
      </w:pPr>
    </w:p>
    <w:p w:rsidR="00E62781" w:rsidRDefault="00E62781" w:rsidP="00E62781">
      <w:pPr>
        <w:ind w:firstLine="357"/>
      </w:pPr>
      <w:r>
        <w:t>Stanje</w:t>
      </w:r>
      <w:r w:rsidR="003857B5">
        <w:t xml:space="preserve"> novčanih sredstava na dan 31.</w:t>
      </w:r>
      <w:r w:rsidR="00463666">
        <w:t>03.2022</w:t>
      </w:r>
      <w:r>
        <w:t>.</w:t>
      </w:r>
      <w:r w:rsidR="004E1BC1">
        <w:t xml:space="preserve"> </w:t>
      </w:r>
      <w:r>
        <w:t xml:space="preserve">godine AOP 644 iznosi </w:t>
      </w:r>
      <w:r w:rsidR="00463666">
        <w:t>20.197.605,00</w:t>
      </w:r>
      <w:r>
        <w:t xml:space="preserve"> kn.</w:t>
      </w:r>
    </w:p>
    <w:p w:rsidR="00E62781" w:rsidRDefault="00E62781" w:rsidP="00E62781">
      <w:pPr>
        <w:ind w:firstLine="708"/>
        <w:jc w:val="both"/>
      </w:pPr>
    </w:p>
    <w:p w:rsidR="00E62781" w:rsidRDefault="00E62781" w:rsidP="00E62781">
      <w:r>
        <w:t xml:space="preserve">      Ukup</w:t>
      </w:r>
      <w:r w:rsidR="003857B5">
        <w:t>no stanje potraživanja na dan 31.</w:t>
      </w:r>
      <w:r w:rsidR="00463666">
        <w:t>03.2022</w:t>
      </w:r>
      <w:r>
        <w:t>.</w:t>
      </w:r>
      <w:r w:rsidR="004E1BC1">
        <w:t xml:space="preserve"> </w:t>
      </w:r>
      <w:bookmarkStart w:id="0" w:name="_GoBack"/>
      <w:bookmarkEnd w:id="0"/>
      <w:r>
        <w:t xml:space="preserve">godine iznosi  </w:t>
      </w:r>
      <w:r w:rsidR="00626886">
        <w:t>3.</w:t>
      </w:r>
      <w:r w:rsidR="00463666">
        <w:t>542.472,89</w:t>
      </w:r>
      <w:r w:rsidR="00626886">
        <w:t xml:space="preserve"> </w:t>
      </w:r>
      <w:r>
        <w:t>kn.</w:t>
      </w:r>
    </w:p>
    <w:p w:rsidR="00E62781" w:rsidRDefault="00E62781" w:rsidP="009221B0">
      <w:pPr>
        <w:spacing w:after="200" w:line="276" w:lineRule="auto"/>
      </w:pPr>
    </w:p>
    <w:p w:rsidR="00E62781" w:rsidRPr="00137CB4" w:rsidRDefault="00E62781" w:rsidP="009221B0">
      <w:pPr>
        <w:spacing w:after="200" w:line="276" w:lineRule="auto"/>
      </w:pPr>
    </w:p>
    <w:p w:rsidR="00EB710A" w:rsidRDefault="00EB710A" w:rsidP="00D879D3">
      <w:pPr>
        <w:jc w:val="both"/>
      </w:pPr>
    </w:p>
    <w:p w:rsidR="00EB710A" w:rsidRDefault="00EB710A" w:rsidP="00D879D3">
      <w:pPr>
        <w:jc w:val="both"/>
      </w:pPr>
    </w:p>
    <w:p w:rsidR="003C7BDE" w:rsidRDefault="003C7BD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do </w:t>
      </w:r>
      <w:r w:rsidR="003C7BDE">
        <w:t>31</w:t>
      </w:r>
      <w:r>
        <w:t xml:space="preserve">. </w:t>
      </w:r>
      <w:r w:rsidR="003C7BDE">
        <w:t>ožujka 2022</w:t>
      </w:r>
      <w:r w:rsidRPr="00650F74">
        <w:t xml:space="preserve">. godine iznosi </w:t>
      </w:r>
      <w:r w:rsidR="003C7BDE">
        <w:t xml:space="preserve">11.803.099,27 </w:t>
      </w:r>
      <w:r w:rsidRPr="00650F74">
        <w:t>kn, a odnosi se na ukupno stanje obveza 1. siječnja u iznosu od</w:t>
      </w:r>
      <w:r w:rsidR="003C7BDE">
        <w:t xml:space="preserve"> 8.403.527,51</w:t>
      </w:r>
      <w:r>
        <w:t xml:space="preserve">  kn i</w:t>
      </w:r>
      <w:r w:rsidRPr="00650F74">
        <w:t xml:space="preserve"> povećanje obveza u izvještajnom razdoblju za </w:t>
      </w:r>
      <w:r w:rsidR="003C7BDE">
        <w:t>3.399.571,76</w:t>
      </w:r>
      <w:r w:rsidRPr="00650F74">
        <w:t xml:space="preserve"> kn.</w:t>
      </w:r>
    </w:p>
    <w:p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3C7BDE">
        <w:t>4.425.429,94</w:t>
      </w:r>
      <w:r>
        <w:t xml:space="preserve"> </w:t>
      </w:r>
      <w:r w:rsidRPr="00650F74">
        <w:t xml:space="preserve">kn te ukupno stanje dospjelih i nedospjelih obveza u izvještajnom razdoblju u iznosu od </w:t>
      </w:r>
      <w:r w:rsidR="003C7BDE">
        <w:t>7.377.669,33</w:t>
      </w:r>
      <w:r w:rsidRPr="00650F74">
        <w:t xml:space="preserve"> kn. </w:t>
      </w:r>
    </w:p>
    <w:p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3C7BDE">
        <w:t>7.377.669,33</w:t>
      </w:r>
      <w:r>
        <w:t xml:space="preserve"> </w:t>
      </w:r>
      <w:r w:rsidRPr="00650F74">
        <w:t>kn odnose se na:</w:t>
      </w:r>
    </w:p>
    <w:p w:rsidR="001C0ED9" w:rsidRPr="00650F74" w:rsidRDefault="001C0ED9" w:rsidP="001C0ED9">
      <w:pPr>
        <w:tabs>
          <w:tab w:val="decimal" w:pos="8222"/>
        </w:tabs>
        <w:ind w:left="917" w:right="-142"/>
        <w:jc w:val="both"/>
      </w:pPr>
      <w:r w:rsidRPr="00650F74">
        <w:t xml:space="preserve"> Obveze za zaposlene</w:t>
      </w:r>
      <w:r w:rsidRPr="00650F74">
        <w:tab/>
      </w:r>
      <w:r w:rsidR="003C7BDE">
        <w:t>317.476,85</w:t>
      </w:r>
      <w:r w:rsidRPr="00650F74">
        <w:t xml:space="preserve"> kn</w:t>
      </w:r>
      <w:r w:rsidRPr="00650F74">
        <w:tab/>
      </w:r>
    </w:p>
    <w:p w:rsidR="001C0ED9" w:rsidRPr="00650F74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 w:rsidR="003C7BDE">
        <w:t>112.456,37</w:t>
      </w:r>
      <w:r w:rsidRPr="00650F74">
        <w:t xml:space="preserve"> kn</w:t>
      </w:r>
    </w:p>
    <w:p w:rsidR="001C0ED9" w:rsidRDefault="001C0ED9" w:rsidP="001C0ED9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 w:rsidR="003C7BDE">
        <w:t>6.665.873,17</w:t>
      </w:r>
      <w:r w:rsidRPr="00650F74">
        <w:t xml:space="preserve"> kn</w:t>
      </w:r>
    </w:p>
    <w:p w:rsidR="005A4437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5A4437">
        <w:t xml:space="preserve">Obveze za subvencije                                                 </w:t>
      </w:r>
      <w:r>
        <w:t xml:space="preserve">                        </w:t>
      </w:r>
      <w:r w:rsidR="005A4437">
        <w:t xml:space="preserve">  </w:t>
      </w:r>
      <w:r w:rsidR="003C7BDE">
        <w:t>60.623,00</w:t>
      </w:r>
      <w:r w:rsidR="005A4437">
        <w:t xml:space="preserve"> kn</w:t>
      </w:r>
    </w:p>
    <w:p w:rsidR="001C0ED9" w:rsidRDefault="001C0ED9" w:rsidP="001C0ED9">
      <w:pPr>
        <w:tabs>
          <w:tab w:val="decimal" w:pos="8222"/>
        </w:tabs>
        <w:ind w:left="917" w:right="-142"/>
        <w:jc w:val="both"/>
      </w:pPr>
      <w:r>
        <w:t xml:space="preserve"> Obveze za naknade građanima i kućanstvima                                       </w:t>
      </w:r>
      <w:r w:rsidR="003C7BDE">
        <w:t xml:space="preserve"> 7.024,00 </w:t>
      </w:r>
      <w:r>
        <w:t>kn</w:t>
      </w:r>
    </w:p>
    <w:p w:rsidR="003C7BDE" w:rsidRPr="00650F74" w:rsidRDefault="003C7BDE" w:rsidP="003C7BDE">
      <w:pPr>
        <w:tabs>
          <w:tab w:val="left" w:pos="7635"/>
        </w:tabs>
        <w:ind w:left="917" w:right="-142"/>
        <w:jc w:val="both"/>
      </w:pPr>
      <w:r>
        <w:t xml:space="preserve"> Obveze za kazne, naknade i kapitalne pomoći                                     22.416,96 kn</w:t>
      </w:r>
    </w:p>
    <w:p w:rsidR="001C0ED9" w:rsidRDefault="001C0ED9" w:rsidP="003C7BDE">
      <w:pPr>
        <w:tabs>
          <w:tab w:val="decimal" w:pos="8222"/>
        </w:tabs>
        <w:ind w:left="917"/>
        <w:jc w:val="both"/>
      </w:pPr>
      <w:r>
        <w:t xml:space="preserve"> Ostale tekuće obveze</w:t>
      </w:r>
      <w:r>
        <w:tab/>
      </w:r>
      <w:r w:rsidR="003C7BDE">
        <w:t xml:space="preserve">     44.742,89</w:t>
      </w:r>
      <w:r>
        <w:t xml:space="preserve"> </w:t>
      </w:r>
      <w:r w:rsidRPr="00650F74">
        <w:t>kn</w:t>
      </w:r>
    </w:p>
    <w:p w:rsidR="001C0ED9" w:rsidRPr="00650F74" w:rsidRDefault="00DE4796" w:rsidP="001C0ED9">
      <w:pPr>
        <w:tabs>
          <w:tab w:val="decimal" w:pos="8222"/>
        </w:tabs>
        <w:ind w:left="917"/>
        <w:jc w:val="both"/>
      </w:pPr>
      <w:r>
        <w:t xml:space="preserve"> </w:t>
      </w:r>
      <w:r w:rsidR="001C0ED9">
        <w:t xml:space="preserve">Obveze za kredite i zajmove </w:t>
      </w:r>
      <w:r w:rsidR="002E1CC8">
        <w:t xml:space="preserve">                                              </w:t>
      </w:r>
      <w:r>
        <w:t xml:space="preserve">              </w:t>
      </w:r>
      <w:r w:rsidR="003C7BDE">
        <w:t xml:space="preserve">  147.056,09 kn</w:t>
      </w:r>
    </w:p>
    <w:p w:rsidR="00632E3B" w:rsidRDefault="00632E3B" w:rsidP="001C0ED9">
      <w:pPr>
        <w:ind w:firstLine="527"/>
        <w:jc w:val="both"/>
        <w:rPr>
          <w:b/>
        </w:rPr>
      </w:pPr>
    </w:p>
    <w:p w:rsidR="00F460B1" w:rsidRDefault="00F460B1" w:rsidP="00F460B1">
      <w:pPr>
        <w:jc w:val="both"/>
        <w:rPr>
          <w:color w:val="000000"/>
        </w:rPr>
      </w:pPr>
    </w:p>
    <w:p w:rsidR="00F460B1" w:rsidRDefault="00F460B1" w:rsidP="00F460B1">
      <w:pPr>
        <w:jc w:val="both"/>
        <w:rPr>
          <w:color w:val="000000"/>
        </w:rPr>
      </w:pPr>
    </w:p>
    <w:p w:rsidR="00F460B1" w:rsidRPr="00F460B1" w:rsidRDefault="00F460B1" w:rsidP="00F460B1">
      <w:pPr>
        <w:jc w:val="both"/>
        <w:rPr>
          <w:color w:val="000000"/>
        </w:rPr>
      </w:pPr>
    </w:p>
    <w:p w:rsidR="00FD2920" w:rsidRDefault="00FD2920">
      <w:pPr>
        <w:spacing w:after="200" w:line="276" w:lineRule="auto"/>
        <w:rPr>
          <w:b/>
        </w:rPr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Pr="00137CB4" w:rsidRDefault="00240BC6" w:rsidP="00137CB4">
      <w:pPr>
        <w:tabs>
          <w:tab w:val="left" w:pos="5009"/>
        </w:tabs>
        <w:jc w:val="both"/>
        <w:rPr>
          <w:b/>
        </w:rPr>
      </w:pPr>
    </w:p>
    <w:p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>U Otočcu, 0</w:t>
      </w:r>
      <w:r w:rsidR="00C7634C">
        <w:rPr>
          <w:b/>
          <w:lang w:eastAsia="en-US"/>
        </w:rPr>
        <w:t>8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>
        <w:rPr>
          <w:b/>
          <w:lang w:eastAsia="en-US"/>
        </w:rPr>
        <w:t>04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2022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="00CF406B">
        <w:rPr>
          <w:b/>
          <w:lang w:eastAsia="en-US"/>
        </w:rPr>
        <w:t>Goran Bukovac, dipl.pol,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2F" w:rsidRDefault="00EC4F2F" w:rsidP="00646E8E">
      <w:r>
        <w:separator/>
      </w:r>
    </w:p>
  </w:endnote>
  <w:endnote w:type="continuationSeparator" w:id="0">
    <w:p w:rsidR="00EC4F2F" w:rsidRDefault="00EC4F2F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C1">
          <w:rPr>
            <w:noProof/>
          </w:rPr>
          <w:t>6</w:t>
        </w:r>
        <w:r>
          <w:fldChar w:fldCharType="end"/>
        </w:r>
      </w:p>
    </w:sdtContent>
  </w:sdt>
  <w:p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2F" w:rsidRDefault="00EC4F2F" w:rsidP="00646E8E">
      <w:r>
        <w:separator/>
      </w:r>
    </w:p>
  </w:footnote>
  <w:footnote w:type="continuationSeparator" w:id="0">
    <w:p w:rsidR="00EC4F2F" w:rsidRDefault="00EC4F2F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2"/>
  </w:num>
  <w:num w:numId="2">
    <w:abstractNumId w:val="19"/>
  </w:num>
  <w:num w:numId="3">
    <w:abstractNumId w:val="19"/>
  </w:num>
  <w:num w:numId="4">
    <w:abstractNumId w:val="12"/>
  </w:num>
  <w:num w:numId="5">
    <w:abstractNumId w:val="0"/>
  </w:num>
  <w:num w:numId="6">
    <w:abstractNumId w:val="8"/>
  </w:num>
  <w:num w:numId="7">
    <w:abstractNumId w:val="22"/>
  </w:num>
  <w:num w:numId="8">
    <w:abstractNumId w:val="16"/>
  </w:num>
  <w:num w:numId="9">
    <w:abstractNumId w:val="21"/>
  </w:num>
  <w:num w:numId="10">
    <w:abstractNumId w:val="6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20"/>
  </w:num>
  <w:num w:numId="16">
    <w:abstractNumId w:val="14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10"/>
  </w:num>
  <w:num w:numId="22">
    <w:abstractNumId w:val="7"/>
  </w:num>
  <w:num w:numId="23">
    <w:abstractNumId w:val="9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052C2"/>
    <w:rsid w:val="00010CCB"/>
    <w:rsid w:val="00026E04"/>
    <w:rsid w:val="00050BEE"/>
    <w:rsid w:val="000642AB"/>
    <w:rsid w:val="00066A75"/>
    <w:rsid w:val="00082D64"/>
    <w:rsid w:val="00085011"/>
    <w:rsid w:val="00087F87"/>
    <w:rsid w:val="0009037E"/>
    <w:rsid w:val="000A0F64"/>
    <w:rsid w:val="000B2428"/>
    <w:rsid w:val="000B7748"/>
    <w:rsid w:val="000C248D"/>
    <w:rsid w:val="000C6618"/>
    <w:rsid w:val="000D79A9"/>
    <w:rsid w:val="000D7DFB"/>
    <w:rsid w:val="000E1D98"/>
    <w:rsid w:val="000F0EA3"/>
    <w:rsid w:val="00100598"/>
    <w:rsid w:val="00101842"/>
    <w:rsid w:val="00130087"/>
    <w:rsid w:val="00137CB4"/>
    <w:rsid w:val="0014096F"/>
    <w:rsid w:val="00141644"/>
    <w:rsid w:val="00141901"/>
    <w:rsid w:val="00155286"/>
    <w:rsid w:val="00166A78"/>
    <w:rsid w:val="001673BF"/>
    <w:rsid w:val="001715B7"/>
    <w:rsid w:val="00176150"/>
    <w:rsid w:val="00191546"/>
    <w:rsid w:val="001A1F64"/>
    <w:rsid w:val="001A3FB4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E1729"/>
    <w:rsid w:val="00210795"/>
    <w:rsid w:val="00215FB9"/>
    <w:rsid w:val="00217792"/>
    <w:rsid w:val="002206DF"/>
    <w:rsid w:val="00226997"/>
    <w:rsid w:val="00227C56"/>
    <w:rsid w:val="00232BEF"/>
    <w:rsid w:val="00240BC6"/>
    <w:rsid w:val="00241A2F"/>
    <w:rsid w:val="00246566"/>
    <w:rsid w:val="00246F2C"/>
    <w:rsid w:val="00247DCB"/>
    <w:rsid w:val="002536BF"/>
    <w:rsid w:val="00255354"/>
    <w:rsid w:val="00256374"/>
    <w:rsid w:val="00257526"/>
    <w:rsid w:val="00265176"/>
    <w:rsid w:val="00270A2B"/>
    <w:rsid w:val="00277CC4"/>
    <w:rsid w:val="00282618"/>
    <w:rsid w:val="0029657B"/>
    <w:rsid w:val="002A6087"/>
    <w:rsid w:val="002B14A0"/>
    <w:rsid w:val="002B5D54"/>
    <w:rsid w:val="002D100D"/>
    <w:rsid w:val="002D3802"/>
    <w:rsid w:val="002E1CC8"/>
    <w:rsid w:val="002F3E3C"/>
    <w:rsid w:val="002F62F8"/>
    <w:rsid w:val="00305515"/>
    <w:rsid w:val="00314AB8"/>
    <w:rsid w:val="00321F27"/>
    <w:rsid w:val="00321FDE"/>
    <w:rsid w:val="0032416C"/>
    <w:rsid w:val="00324FE0"/>
    <w:rsid w:val="00335475"/>
    <w:rsid w:val="003361AC"/>
    <w:rsid w:val="00345863"/>
    <w:rsid w:val="003459D1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6EDE"/>
    <w:rsid w:val="003C4A52"/>
    <w:rsid w:val="003C5E4C"/>
    <w:rsid w:val="003C7BDE"/>
    <w:rsid w:val="003D2620"/>
    <w:rsid w:val="003D6EB3"/>
    <w:rsid w:val="003E0795"/>
    <w:rsid w:val="003E0AD2"/>
    <w:rsid w:val="003E1F48"/>
    <w:rsid w:val="003E2C4B"/>
    <w:rsid w:val="003E54AA"/>
    <w:rsid w:val="003F4100"/>
    <w:rsid w:val="004067D8"/>
    <w:rsid w:val="0043040E"/>
    <w:rsid w:val="00442F12"/>
    <w:rsid w:val="004442F2"/>
    <w:rsid w:val="00454613"/>
    <w:rsid w:val="00463666"/>
    <w:rsid w:val="0047252E"/>
    <w:rsid w:val="00476349"/>
    <w:rsid w:val="004805F6"/>
    <w:rsid w:val="00493917"/>
    <w:rsid w:val="004A1D5D"/>
    <w:rsid w:val="004B4D7E"/>
    <w:rsid w:val="004D5290"/>
    <w:rsid w:val="004E1BC1"/>
    <w:rsid w:val="004E41B4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47F3"/>
    <w:rsid w:val="005375A3"/>
    <w:rsid w:val="005414DF"/>
    <w:rsid w:val="00541A04"/>
    <w:rsid w:val="005421C4"/>
    <w:rsid w:val="00542CC3"/>
    <w:rsid w:val="00556BBF"/>
    <w:rsid w:val="00560A24"/>
    <w:rsid w:val="00562A14"/>
    <w:rsid w:val="00564CDF"/>
    <w:rsid w:val="005665CC"/>
    <w:rsid w:val="00567ABB"/>
    <w:rsid w:val="00574D17"/>
    <w:rsid w:val="005833FD"/>
    <w:rsid w:val="00584303"/>
    <w:rsid w:val="00586009"/>
    <w:rsid w:val="00586430"/>
    <w:rsid w:val="00586C13"/>
    <w:rsid w:val="00590296"/>
    <w:rsid w:val="00592A02"/>
    <w:rsid w:val="005A40AC"/>
    <w:rsid w:val="005A4437"/>
    <w:rsid w:val="005A5A65"/>
    <w:rsid w:val="005A70B2"/>
    <w:rsid w:val="005B65C3"/>
    <w:rsid w:val="005C4948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6984"/>
    <w:rsid w:val="00646CBE"/>
    <w:rsid w:val="00646E49"/>
    <w:rsid w:val="00646E8E"/>
    <w:rsid w:val="00672AB7"/>
    <w:rsid w:val="0069150B"/>
    <w:rsid w:val="00693C28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705E95"/>
    <w:rsid w:val="00753572"/>
    <w:rsid w:val="00755580"/>
    <w:rsid w:val="00771C48"/>
    <w:rsid w:val="0077559A"/>
    <w:rsid w:val="0078746C"/>
    <w:rsid w:val="00792E36"/>
    <w:rsid w:val="007A0509"/>
    <w:rsid w:val="007A1EBF"/>
    <w:rsid w:val="007A2C4C"/>
    <w:rsid w:val="007C169A"/>
    <w:rsid w:val="007D068E"/>
    <w:rsid w:val="007E69A3"/>
    <w:rsid w:val="00800D3D"/>
    <w:rsid w:val="00805335"/>
    <w:rsid w:val="00816782"/>
    <w:rsid w:val="00822C65"/>
    <w:rsid w:val="00847EF4"/>
    <w:rsid w:val="008506FD"/>
    <w:rsid w:val="00850D42"/>
    <w:rsid w:val="00853B86"/>
    <w:rsid w:val="00867141"/>
    <w:rsid w:val="0087586C"/>
    <w:rsid w:val="00885190"/>
    <w:rsid w:val="0089340A"/>
    <w:rsid w:val="008961A4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E30FF"/>
    <w:rsid w:val="008F40EA"/>
    <w:rsid w:val="00903A71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03B74"/>
    <w:rsid w:val="00A178FE"/>
    <w:rsid w:val="00A24A0D"/>
    <w:rsid w:val="00A26A23"/>
    <w:rsid w:val="00A34F70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FA0"/>
    <w:rsid w:val="00AC0526"/>
    <w:rsid w:val="00AC096C"/>
    <w:rsid w:val="00AC2F6D"/>
    <w:rsid w:val="00AC3189"/>
    <w:rsid w:val="00AC3435"/>
    <w:rsid w:val="00AE1C1F"/>
    <w:rsid w:val="00AE266F"/>
    <w:rsid w:val="00B03158"/>
    <w:rsid w:val="00B35B98"/>
    <w:rsid w:val="00B37854"/>
    <w:rsid w:val="00B6106A"/>
    <w:rsid w:val="00B63637"/>
    <w:rsid w:val="00B715CB"/>
    <w:rsid w:val="00B73D9C"/>
    <w:rsid w:val="00B75E69"/>
    <w:rsid w:val="00B778FE"/>
    <w:rsid w:val="00B83483"/>
    <w:rsid w:val="00BA30AB"/>
    <w:rsid w:val="00BA6FF6"/>
    <w:rsid w:val="00BB6C6C"/>
    <w:rsid w:val="00BC0DF0"/>
    <w:rsid w:val="00BC2CA8"/>
    <w:rsid w:val="00BC6108"/>
    <w:rsid w:val="00BD0D3D"/>
    <w:rsid w:val="00BD312D"/>
    <w:rsid w:val="00BD380C"/>
    <w:rsid w:val="00BE384E"/>
    <w:rsid w:val="00BE3B94"/>
    <w:rsid w:val="00BE42ED"/>
    <w:rsid w:val="00BE5F97"/>
    <w:rsid w:val="00BF5B43"/>
    <w:rsid w:val="00BF5D92"/>
    <w:rsid w:val="00C01D39"/>
    <w:rsid w:val="00C03B19"/>
    <w:rsid w:val="00C1020D"/>
    <w:rsid w:val="00C17EDB"/>
    <w:rsid w:val="00C209BF"/>
    <w:rsid w:val="00C26813"/>
    <w:rsid w:val="00C4055F"/>
    <w:rsid w:val="00C4116A"/>
    <w:rsid w:val="00C43FB4"/>
    <w:rsid w:val="00C50473"/>
    <w:rsid w:val="00C63AA8"/>
    <w:rsid w:val="00C6599D"/>
    <w:rsid w:val="00C7222B"/>
    <w:rsid w:val="00C72B2E"/>
    <w:rsid w:val="00C7634C"/>
    <w:rsid w:val="00C812B9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420"/>
    <w:rsid w:val="00CC6BB4"/>
    <w:rsid w:val="00CE1633"/>
    <w:rsid w:val="00CE4B36"/>
    <w:rsid w:val="00CF0517"/>
    <w:rsid w:val="00CF1584"/>
    <w:rsid w:val="00CF17B2"/>
    <w:rsid w:val="00CF2449"/>
    <w:rsid w:val="00CF406B"/>
    <w:rsid w:val="00D0531C"/>
    <w:rsid w:val="00D153F8"/>
    <w:rsid w:val="00D21727"/>
    <w:rsid w:val="00D23C7F"/>
    <w:rsid w:val="00D33C11"/>
    <w:rsid w:val="00D3419A"/>
    <w:rsid w:val="00D412A5"/>
    <w:rsid w:val="00D632FA"/>
    <w:rsid w:val="00D649FD"/>
    <w:rsid w:val="00D65E7F"/>
    <w:rsid w:val="00D75122"/>
    <w:rsid w:val="00D77F71"/>
    <w:rsid w:val="00D87536"/>
    <w:rsid w:val="00D879D3"/>
    <w:rsid w:val="00DA0992"/>
    <w:rsid w:val="00DC601D"/>
    <w:rsid w:val="00DD43F3"/>
    <w:rsid w:val="00DD5F7A"/>
    <w:rsid w:val="00DE208C"/>
    <w:rsid w:val="00DE30DB"/>
    <w:rsid w:val="00DE4796"/>
    <w:rsid w:val="00DF5C8E"/>
    <w:rsid w:val="00E0572A"/>
    <w:rsid w:val="00E14A39"/>
    <w:rsid w:val="00E22312"/>
    <w:rsid w:val="00E25C9F"/>
    <w:rsid w:val="00E37F72"/>
    <w:rsid w:val="00E42045"/>
    <w:rsid w:val="00E47D7E"/>
    <w:rsid w:val="00E510AB"/>
    <w:rsid w:val="00E5418F"/>
    <w:rsid w:val="00E62781"/>
    <w:rsid w:val="00E6568F"/>
    <w:rsid w:val="00E73ED4"/>
    <w:rsid w:val="00E74D17"/>
    <w:rsid w:val="00E77379"/>
    <w:rsid w:val="00E80F04"/>
    <w:rsid w:val="00E81E6A"/>
    <w:rsid w:val="00E858AE"/>
    <w:rsid w:val="00E87200"/>
    <w:rsid w:val="00E91759"/>
    <w:rsid w:val="00E9386B"/>
    <w:rsid w:val="00EA4080"/>
    <w:rsid w:val="00EB3331"/>
    <w:rsid w:val="00EB464E"/>
    <w:rsid w:val="00EB710A"/>
    <w:rsid w:val="00EC006B"/>
    <w:rsid w:val="00EC0A52"/>
    <w:rsid w:val="00EC4F2F"/>
    <w:rsid w:val="00ED1CEE"/>
    <w:rsid w:val="00EE1C1D"/>
    <w:rsid w:val="00EE540C"/>
    <w:rsid w:val="00F034AE"/>
    <w:rsid w:val="00F058C9"/>
    <w:rsid w:val="00F06641"/>
    <w:rsid w:val="00F11BEA"/>
    <w:rsid w:val="00F12A30"/>
    <w:rsid w:val="00F132E9"/>
    <w:rsid w:val="00F15428"/>
    <w:rsid w:val="00F21294"/>
    <w:rsid w:val="00F235DF"/>
    <w:rsid w:val="00F3132C"/>
    <w:rsid w:val="00F3165F"/>
    <w:rsid w:val="00F316C9"/>
    <w:rsid w:val="00F438E5"/>
    <w:rsid w:val="00F460B1"/>
    <w:rsid w:val="00F55813"/>
    <w:rsid w:val="00F56256"/>
    <w:rsid w:val="00F60F55"/>
    <w:rsid w:val="00F72693"/>
    <w:rsid w:val="00F73BFD"/>
    <w:rsid w:val="00F77079"/>
    <w:rsid w:val="00F83EE8"/>
    <w:rsid w:val="00FA10B9"/>
    <w:rsid w:val="00FB0C10"/>
    <w:rsid w:val="00FC4E08"/>
    <w:rsid w:val="00FD2920"/>
    <w:rsid w:val="00FD3B98"/>
    <w:rsid w:val="00FD7067"/>
    <w:rsid w:val="00FD7FCC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668D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DC59-ECDA-4DE4-A376-94CF5F69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166</cp:revision>
  <cp:lastPrinted>2021-02-15T13:30:00Z</cp:lastPrinted>
  <dcterms:created xsi:type="dcterms:W3CDTF">2020-02-17T09:25:00Z</dcterms:created>
  <dcterms:modified xsi:type="dcterms:W3CDTF">2022-04-14T09:23:00Z</dcterms:modified>
</cp:coreProperties>
</file>